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66C" w:rsidRPr="0077466C" w:rsidRDefault="00EF13F5" w:rsidP="0077466C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513965" cy="790458"/>
            <wp:effectExtent l="0" t="0" r="0" b="0"/>
            <wp:docPr id="1" name="Рисунок 1" descr="C:\Users\user2250\Desktop\логотип\! лого КК\Основной логотип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лого КК\Основной логотип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86" b="10315"/>
                    <a:stretch/>
                  </pic:blipFill>
                  <pic:spPr bwMode="auto">
                    <a:xfrm>
                      <a:off x="0" y="0"/>
                      <a:ext cx="2513965" cy="79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466C" w:rsidRPr="0077466C" w:rsidRDefault="0077466C" w:rsidP="0077466C">
      <w:pPr>
        <w:spacing w:after="0" w:line="240" w:lineRule="auto"/>
        <w:rPr>
          <w:rFonts w:ascii="Calibri" w:eastAsia="Calibri" w:hAnsi="Calibri" w:cs="Times New Roman"/>
        </w:rPr>
      </w:pPr>
    </w:p>
    <w:p w:rsidR="0077466C" w:rsidRPr="0077466C" w:rsidRDefault="0077466C" w:rsidP="007746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77466C" w:rsidRPr="0077466C" w:rsidRDefault="0077466C" w:rsidP="007746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466C" w:rsidRPr="0077466C" w:rsidRDefault="00A564AD" w:rsidP="0077466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64AD">
        <w:rPr>
          <w:rFonts w:ascii="Times New Roman" w:eastAsia="Calibri" w:hAnsi="Times New Roman" w:cs="Times New Roman"/>
          <w:b/>
          <w:sz w:val="28"/>
          <w:szCs w:val="28"/>
        </w:rPr>
        <w:t>«Гаражная амнистия»: особенности оформления земли под гаражом</w:t>
      </w:r>
    </w:p>
    <w:p w:rsidR="0077466C" w:rsidRPr="0077466C" w:rsidRDefault="0077466C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64AD" w:rsidRPr="004C01F8" w:rsidRDefault="00A564AD" w:rsidP="00A564A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C01F8">
        <w:rPr>
          <w:rFonts w:ascii="Times New Roman" w:eastAsia="Calibri" w:hAnsi="Times New Roman" w:cs="Times New Roman"/>
          <w:bCs/>
          <w:sz w:val="28"/>
          <w:szCs w:val="28"/>
        </w:rPr>
        <w:t>Более года в России действует «гаражная амнистия». Более 100 тысяч людей уже бесплатно и в упрощенном порядке оформили в собственность гаражи и землю под ними. Эксперты Росреестра продолжают отвечать на часто задаваемые вопросы.</w:t>
      </w:r>
    </w:p>
    <w:p w:rsidR="00A564AD" w:rsidRPr="004C01F8" w:rsidRDefault="00A564AD" w:rsidP="00A564A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C01F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Можно ли зарегистрировать право собственности на земельный участок в рамках «гаражной амнистии», если зарегистрировано право собственности на помещение (гараж)?</w:t>
      </w:r>
    </w:p>
    <w:p w:rsidR="00A564AD" w:rsidRPr="00A564AD" w:rsidRDefault="00A564AD" w:rsidP="00A564A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64AD">
        <w:rPr>
          <w:rFonts w:ascii="Times New Roman" w:eastAsia="Calibri" w:hAnsi="Times New Roman" w:cs="Times New Roman"/>
          <w:bCs/>
          <w:sz w:val="28"/>
          <w:szCs w:val="28"/>
        </w:rPr>
        <w:t>Одноэтажные гаражи, которые блокированы общими стенами с другими одноэтажными гаражами, сведения о которых внесены в Единый государственный реестр недвижимости (ЕГРН) как о помещениях в здании или сооружении, признаются самостоятельными зданиями. Чтобы внести изменения в ЕГРН и указать вид объекта – «здание» и на его назначение – «гараж», нужно написать заявление (</w:t>
      </w:r>
      <w:hyperlink r:id="rId9" w:history="1">
        <w:r w:rsidRPr="00A564AD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ч.</w:t>
        </w:r>
        <w:r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 </w:t>
        </w:r>
        <w:r w:rsidRPr="00A564AD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1 ст.18 Федерального закона от 05.04.2021 № 79-ФЗ</w:t>
        </w:r>
      </w:hyperlink>
      <w:r w:rsidRPr="00A564AD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:rsidR="00A564AD" w:rsidRPr="00A564AD" w:rsidRDefault="00A564AD" w:rsidP="00A564A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64AD">
        <w:rPr>
          <w:rFonts w:ascii="Times New Roman" w:eastAsia="Calibri" w:hAnsi="Times New Roman" w:cs="Times New Roman"/>
          <w:bCs/>
          <w:sz w:val="28"/>
          <w:szCs w:val="28"/>
        </w:rPr>
        <w:t>Исключительное право на приобретение земельных участков в собственность или аренду имеют собственники расположенных на них зданий и сооружений (</w:t>
      </w:r>
      <w:hyperlink r:id="rId10" w:history="1">
        <w:r w:rsidRPr="00A564AD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п.1</w:t>
        </w:r>
        <w:r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 </w:t>
        </w:r>
        <w:r w:rsidRPr="00A564AD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ст. 39.20 Земельного кодекса РФ</w:t>
        </w:r>
      </w:hyperlink>
      <w:r w:rsidRPr="00A564AD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:rsidR="00A564AD" w:rsidRPr="00A564AD" w:rsidRDefault="00A564AD" w:rsidP="00A564A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64AD">
        <w:rPr>
          <w:rFonts w:ascii="Times New Roman" w:eastAsia="Calibri" w:hAnsi="Times New Roman" w:cs="Times New Roman"/>
          <w:bCs/>
          <w:sz w:val="28"/>
          <w:szCs w:val="28"/>
        </w:rPr>
        <w:t>При этом собственник гаража – объекта капитального строительства, возведенного до 30 декабря 2004 года – вправе приобрести такой земельный участок в собственность бесплатно.</w:t>
      </w:r>
    </w:p>
    <w:p w:rsidR="00A564AD" w:rsidRPr="00A564AD" w:rsidRDefault="00A564AD" w:rsidP="00A564A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64AD">
        <w:rPr>
          <w:rFonts w:ascii="Times New Roman" w:eastAsia="Calibri" w:hAnsi="Times New Roman" w:cs="Times New Roman"/>
          <w:bCs/>
          <w:sz w:val="28"/>
          <w:szCs w:val="28"/>
        </w:rPr>
        <w:t>Исключение! Случаи, когда участок не может быть предоставлен в собственность в соответствии с Земельным кодексом РФ.</w:t>
      </w:r>
    </w:p>
    <w:p w:rsidR="00A564AD" w:rsidRPr="00A564AD" w:rsidRDefault="00A564AD" w:rsidP="00A564A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64AD">
        <w:rPr>
          <w:rFonts w:ascii="Times New Roman" w:eastAsia="Calibri" w:hAnsi="Times New Roman" w:cs="Times New Roman"/>
          <w:bCs/>
          <w:sz w:val="28"/>
          <w:szCs w:val="28"/>
        </w:rPr>
        <w:t>Обращаем внимание! Собственник здания (гаража) вправе обратиться в уполномоченный орган государственной власти или орган местного самоуправления для получения в собственность бесплатно земельного участка, на котором расположен гараж.</w:t>
      </w:r>
    </w:p>
    <w:p w:rsidR="00A564AD" w:rsidRPr="00A564AD" w:rsidRDefault="00A564AD" w:rsidP="00A564A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64AD">
        <w:rPr>
          <w:rFonts w:ascii="Times New Roman" w:eastAsia="Calibri" w:hAnsi="Times New Roman" w:cs="Times New Roman"/>
          <w:bCs/>
          <w:sz w:val="28"/>
          <w:szCs w:val="28"/>
        </w:rPr>
        <w:t>В общем порядке приобретения такого зе</w:t>
      </w:r>
      <w:r w:rsidR="009F512A">
        <w:rPr>
          <w:rFonts w:ascii="Times New Roman" w:eastAsia="Calibri" w:hAnsi="Times New Roman" w:cs="Times New Roman"/>
          <w:bCs/>
          <w:sz w:val="28"/>
          <w:szCs w:val="28"/>
        </w:rPr>
        <w:t>мельного участка осуществляется</w:t>
      </w:r>
      <w:r w:rsidR="009F512A">
        <w:rPr>
          <w:rFonts w:ascii="Times New Roman" w:eastAsia="Calibri" w:hAnsi="Times New Roman" w:cs="Times New Roman"/>
          <w:bCs/>
          <w:sz w:val="28"/>
          <w:szCs w:val="28"/>
        </w:rPr>
        <w:br/>
      </w:r>
      <w:bookmarkStart w:id="0" w:name="_GoBack"/>
      <w:bookmarkEnd w:id="0"/>
      <w:r w:rsidRPr="00A564AD">
        <w:rPr>
          <w:rFonts w:ascii="Times New Roman" w:eastAsia="Calibri" w:hAnsi="Times New Roman" w:cs="Times New Roman"/>
          <w:bCs/>
          <w:sz w:val="28"/>
          <w:szCs w:val="28"/>
        </w:rPr>
        <w:t>за плату.</w:t>
      </w:r>
    </w:p>
    <w:p w:rsidR="00A564AD" w:rsidRPr="004C01F8" w:rsidRDefault="00A564AD" w:rsidP="00A564A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C01F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Может ли гражданин оформить в собственность земельный участок и расположенный на нем гараж, если участок расположен в границе полосы отвода железной дороги?</w:t>
      </w:r>
    </w:p>
    <w:p w:rsidR="00A564AD" w:rsidRPr="00A564AD" w:rsidRDefault="00A564AD" w:rsidP="00A564A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64AD">
        <w:rPr>
          <w:rFonts w:ascii="Times New Roman" w:eastAsia="Calibri" w:hAnsi="Times New Roman" w:cs="Times New Roman"/>
          <w:bCs/>
          <w:sz w:val="28"/>
          <w:szCs w:val="28"/>
        </w:rPr>
        <w:t>Земельные участки полосы отвода железной дороги находятся в федеральной собственности и предоставляются ОАО «РЖД» для размещения и эксплуатации объектов железнодорожного транспорта.</w:t>
      </w:r>
    </w:p>
    <w:p w:rsidR="00A564AD" w:rsidRPr="00A564AD" w:rsidRDefault="00A564AD" w:rsidP="00A564A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64A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Предоставление такого участка в собственность возможно путем образования отдельного земельного участка под гаражом при условии отказа ОАО «РЖД» от права его аренды в установленном порядке.</w:t>
      </w:r>
    </w:p>
    <w:p w:rsidR="00A564AD" w:rsidRPr="004C01F8" w:rsidRDefault="00A564AD" w:rsidP="00A564A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C01F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В случае если орган государственной власти или орган местного самоуправления принял решение о резервировании земельного участка, может ли быть реализована «гаражная амнистия»?</w:t>
      </w:r>
    </w:p>
    <w:p w:rsidR="00A564AD" w:rsidRPr="00A564AD" w:rsidRDefault="00A564AD" w:rsidP="00A564A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64AD">
        <w:rPr>
          <w:rFonts w:ascii="Times New Roman" w:eastAsia="Calibri" w:hAnsi="Times New Roman" w:cs="Times New Roman"/>
          <w:bCs/>
          <w:sz w:val="28"/>
          <w:szCs w:val="28"/>
        </w:rPr>
        <w:t>Если земельный участок зарезервирован для государственных или муниципальных нужд, он может быть предоставлен гражданину в аренду на срок, не превышающий срока резервирования земельного участка для государственных или муниципальных нужд. При этом земельные участки подлежат предоставлению в аренду с установлением арендной платы в размере не выше размера земельного налога за соответствующий земельный участок. (</w:t>
      </w:r>
      <w:hyperlink r:id="rId11" w:history="1">
        <w:r w:rsidRPr="00A564AD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п.1</w:t>
        </w:r>
        <w:r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9 ст. 3.7 Федерального закона № </w:t>
        </w:r>
        <w:r w:rsidRPr="00A564AD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137-ФЗ</w:t>
        </w:r>
      </w:hyperlink>
      <w:r w:rsidRPr="00A564AD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:rsidR="00A564AD" w:rsidRPr="004C01F8" w:rsidRDefault="00A564AD" w:rsidP="00A564A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C01F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Является ли наличие справки о выплате паевого взноса обязательным условием для приобретения земельного участка и гаража в рамках «гаражной амнистии»?</w:t>
      </w:r>
    </w:p>
    <w:p w:rsidR="00A564AD" w:rsidRPr="00A564AD" w:rsidRDefault="00A564AD" w:rsidP="00A564A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64AD">
        <w:rPr>
          <w:rFonts w:ascii="Times New Roman" w:eastAsia="Calibri" w:hAnsi="Times New Roman" w:cs="Times New Roman"/>
          <w:bCs/>
          <w:sz w:val="28"/>
          <w:szCs w:val="28"/>
        </w:rPr>
        <w:t>Наличие сведений о выплате паевого взноса не является единственно возможным условием для приобретения гражданином земельного участка и расположенного на нем гаража в рамках реализации «гаражной амнистии».</w:t>
      </w:r>
    </w:p>
    <w:p w:rsidR="00A564AD" w:rsidRPr="00A564AD" w:rsidRDefault="00A564AD" w:rsidP="00A564A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64AD">
        <w:rPr>
          <w:rFonts w:ascii="Times New Roman" w:eastAsia="Calibri" w:hAnsi="Times New Roman" w:cs="Times New Roman"/>
          <w:bCs/>
          <w:sz w:val="28"/>
          <w:szCs w:val="28"/>
        </w:rPr>
        <w:t>Если земельный участок образован из участка, предоставленного или выделенного иным способом гаражному кооперативу либо иной организации, при которой был организован кооператив, к заявлению прилагаются:</w:t>
      </w:r>
    </w:p>
    <w:p w:rsidR="00A564AD" w:rsidRPr="00A564AD" w:rsidRDefault="00A564AD" w:rsidP="00A564AD">
      <w:pPr>
        <w:numPr>
          <w:ilvl w:val="0"/>
          <w:numId w:val="2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64AD">
        <w:rPr>
          <w:rFonts w:ascii="Times New Roman" w:eastAsia="Calibri" w:hAnsi="Times New Roman" w:cs="Times New Roman"/>
          <w:bCs/>
          <w:sz w:val="28"/>
          <w:szCs w:val="28"/>
        </w:rPr>
        <w:t>документ, подтверждающий предоставление или выделение земельного участка, из которого образован или должен быть образован испрашиваемый земельный участок, гаражному кооперативу либо иной организации, при которой был организован гаражный кооператив, для гаражного строительства и (или) размещения гаражей, или документ, подтверждающий приобретение указанными кооперативом либо организацией права на использование такого земельного участка по иным основаниям;</w:t>
      </w:r>
    </w:p>
    <w:p w:rsidR="00A564AD" w:rsidRPr="00A564AD" w:rsidRDefault="00A564AD" w:rsidP="00A564AD">
      <w:pPr>
        <w:numPr>
          <w:ilvl w:val="0"/>
          <w:numId w:val="2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64AD">
        <w:rPr>
          <w:rFonts w:ascii="Times New Roman" w:eastAsia="Calibri" w:hAnsi="Times New Roman" w:cs="Times New Roman"/>
          <w:bCs/>
          <w:sz w:val="28"/>
          <w:szCs w:val="28"/>
        </w:rPr>
        <w:t>решение общего собрания членов гаражного кооператива о распределении гражданину гаража и (или) указанного земельного участка либо иной документ, устанавливающий такое распределение, и (или) документ, выданный гаражным кооперативом, подтверждающий выплату таким гражданином пая, в том числе без указания на то, что выплата такого пая является полной, и (или) подтверждающий факт осуществления строительства гаража данным кооперативом или указанным гражданином;</w:t>
      </w:r>
    </w:p>
    <w:p w:rsidR="00A564AD" w:rsidRPr="00A564AD" w:rsidRDefault="00A564AD" w:rsidP="00A564A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64AD">
        <w:rPr>
          <w:rFonts w:ascii="Times New Roman" w:eastAsia="Calibri" w:hAnsi="Times New Roman" w:cs="Times New Roman"/>
          <w:bCs/>
          <w:sz w:val="28"/>
          <w:szCs w:val="28"/>
        </w:rPr>
        <w:t>Обращаем внимание! При отсутствии одного из вышеперечисленных документов к заявлению могут быть приложены и другие, в том числе, технический паспорт объекта недвижимости (выдавался до 1 января 2013 года), договор о предоставлении коммунальных услуг в связи с использованием гаража, и (или) документы, подтверждающие исполнение со стороны гражданина обязательств по оплате коммунальных услуг.</w:t>
      </w:r>
    </w:p>
    <w:p w:rsidR="00A564AD" w:rsidRPr="00A564AD" w:rsidRDefault="00A564AD" w:rsidP="00A564AD">
      <w:pPr>
        <w:numPr>
          <w:ilvl w:val="0"/>
          <w:numId w:val="3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64A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схема расположения земельного участка (если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участок);</w:t>
      </w:r>
    </w:p>
    <w:p w:rsidR="00A564AD" w:rsidRPr="00A564AD" w:rsidRDefault="00A564AD" w:rsidP="00A564AD">
      <w:pPr>
        <w:numPr>
          <w:ilvl w:val="0"/>
          <w:numId w:val="3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64AD">
        <w:rPr>
          <w:rFonts w:ascii="Times New Roman" w:eastAsia="Calibri" w:hAnsi="Times New Roman" w:cs="Times New Roman"/>
          <w:bCs/>
          <w:sz w:val="28"/>
          <w:szCs w:val="28"/>
        </w:rPr>
        <w:t>выписка из Единого государственного реестра юридических лиц о гаражном кооперативе, членом которого является заявитель;</w:t>
      </w:r>
    </w:p>
    <w:p w:rsidR="00A564AD" w:rsidRPr="00A564AD" w:rsidRDefault="00A564AD" w:rsidP="00A564AD">
      <w:pPr>
        <w:numPr>
          <w:ilvl w:val="0"/>
          <w:numId w:val="3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64AD">
        <w:rPr>
          <w:rFonts w:ascii="Times New Roman" w:eastAsia="Calibri" w:hAnsi="Times New Roman" w:cs="Times New Roman"/>
          <w:bCs/>
          <w:sz w:val="28"/>
          <w:szCs w:val="28"/>
        </w:rPr>
        <w:t>документ, подтверждающий полномочия представителя заявителя (если с заявлением обращается представитель заявителя).</w:t>
      </w:r>
    </w:p>
    <w:p w:rsidR="00A564AD" w:rsidRPr="00A564AD" w:rsidRDefault="00A564AD" w:rsidP="00A564A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564A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Могут ли отказать в предоставлении испрашиваемого земельного участка для строительства индивидуального гаража в случае превышения предельного размера испрашиваемого земельного участка?</w:t>
      </w:r>
    </w:p>
    <w:p w:rsidR="00A564AD" w:rsidRPr="00A564AD" w:rsidRDefault="00A564AD" w:rsidP="00A564A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64AD">
        <w:rPr>
          <w:rFonts w:ascii="Times New Roman" w:eastAsia="Calibri" w:hAnsi="Times New Roman" w:cs="Times New Roman"/>
          <w:bCs/>
          <w:sz w:val="28"/>
          <w:szCs w:val="28"/>
        </w:rPr>
        <w:t>Предельные параметры и размеры земельных участков могут применяться только, если они предусмотрены видом разрешенного использования испрашиваемого земельного участка для строительства индивидуального гаража.</w:t>
      </w:r>
    </w:p>
    <w:p w:rsidR="00A564AD" w:rsidRPr="00A564AD" w:rsidRDefault="00A564AD" w:rsidP="00A564A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564A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Возможно ли в рамках «гаражной амнистии» приобрести земельный участок под несколькими гаражами?</w:t>
      </w:r>
    </w:p>
    <w:p w:rsidR="00A564AD" w:rsidRPr="00A564AD" w:rsidRDefault="00A564AD" w:rsidP="00A564A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64AD">
        <w:rPr>
          <w:rFonts w:ascii="Times New Roman" w:eastAsia="Calibri" w:hAnsi="Times New Roman" w:cs="Times New Roman"/>
          <w:bCs/>
          <w:sz w:val="28"/>
          <w:szCs w:val="28"/>
        </w:rPr>
        <w:t>Закон о «гаражной амнистии» не устанавливает однократность предоставления земельного участка в собственность бесплатно для размещения гаража. При соблюдении условий, предусмотренных законом «о гаражной амнистии», возможно оформление права собственности в упрощенном порядке на несколько гаражей и земельных участков под ними.</w:t>
      </w:r>
    </w:p>
    <w:p w:rsidR="00A564AD" w:rsidRPr="004C01F8" w:rsidRDefault="00A564AD" w:rsidP="00A564A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proofErr w:type="spellStart"/>
      <w:r w:rsidRPr="004C01F8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  <w:t>Справочно</w:t>
      </w:r>
      <w:proofErr w:type="spellEnd"/>
      <w:r w:rsidRPr="004C01F8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  <w:t>:</w:t>
      </w:r>
    </w:p>
    <w:p w:rsidR="005E110E" w:rsidRPr="00584D0E" w:rsidRDefault="00A564AD" w:rsidP="00A564A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64AD">
        <w:rPr>
          <w:rFonts w:ascii="Times New Roman" w:eastAsia="Calibri" w:hAnsi="Times New Roman" w:cs="Times New Roman"/>
          <w:bCs/>
          <w:sz w:val="28"/>
          <w:szCs w:val="28"/>
        </w:rPr>
        <w:t>Применение Закона «О гаражной амнистии» обеспечивается государственными и муниципальными органами на постоянной основе. Ранее Росреестр разработал</w:t>
      </w:r>
      <w:r w:rsidR="004C01F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hyperlink r:id="rId12" w:tgtFrame="_blank" w:history="1">
        <w:r w:rsidRPr="00A564AD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методические рекомендации</w:t>
        </w:r>
      </w:hyperlink>
      <w:r w:rsidRPr="00A564AD">
        <w:rPr>
          <w:rFonts w:ascii="Times New Roman" w:eastAsia="Calibri" w:hAnsi="Times New Roman" w:cs="Times New Roman"/>
          <w:bCs/>
          <w:sz w:val="28"/>
          <w:szCs w:val="28"/>
        </w:rPr>
        <w:t>, которые помогают разобраться с процедурой оформления гаражей в упрощенном пор</w:t>
      </w:r>
      <w:r w:rsidR="004C01F8">
        <w:rPr>
          <w:rFonts w:ascii="Times New Roman" w:eastAsia="Calibri" w:hAnsi="Times New Roman" w:cs="Times New Roman"/>
          <w:bCs/>
          <w:sz w:val="28"/>
          <w:szCs w:val="28"/>
        </w:rPr>
        <w:t xml:space="preserve">ядке. Также ведомство публикует </w:t>
      </w:r>
      <w:hyperlink r:id="rId13" w:tgtFrame="_blank" w:history="1">
        <w:r w:rsidRPr="00A564AD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ответы на часто задаваемые вопросы</w:t>
        </w:r>
      </w:hyperlink>
      <w:r w:rsidRPr="00A564AD">
        <w:rPr>
          <w:rFonts w:ascii="Times New Roman" w:eastAsia="Calibri" w:hAnsi="Times New Roman" w:cs="Times New Roman"/>
          <w:bCs/>
          <w:sz w:val="28"/>
          <w:szCs w:val="28"/>
        </w:rPr>
        <w:t> по реализации положений «гаражной амнистии».</w:t>
      </w:r>
    </w:p>
    <w:p w:rsidR="0077466C" w:rsidRPr="0077466C" w:rsidRDefault="0077466C" w:rsidP="00105E04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105E04" w:rsidRDefault="0077466C" w:rsidP="00105E0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tbl>
      <w:tblPr>
        <w:tblW w:w="10295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956"/>
        <w:gridCol w:w="4111"/>
      </w:tblGrid>
      <w:tr w:rsidR="0077466C" w:rsidRPr="0077466C" w:rsidTr="00105E04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 wp14:anchorId="27F37EA8" wp14:editId="434EB95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77466C" w:rsidRPr="0077466C" w:rsidRDefault="00185823" w:rsidP="00105E04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5" w:history="1">
              <w:r w:rsidR="0077466C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3E281A70" wp14:editId="238B1581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77466C" w:rsidRPr="0077466C" w:rsidRDefault="0077466C" w:rsidP="00105E04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1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823" w:rsidRDefault="00185823">
      <w:pPr>
        <w:spacing w:after="0" w:line="240" w:lineRule="auto"/>
      </w:pPr>
      <w:r>
        <w:separator/>
      </w:r>
    </w:p>
  </w:endnote>
  <w:endnote w:type="continuationSeparator" w:id="0">
    <w:p w:rsidR="00185823" w:rsidRDefault="00185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 xml:space="preserve">ул. </w:t>
    </w:r>
    <w:proofErr w:type="spellStart"/>
    <w:r w:rsidRPr="00D13DFC">
      <w:rPr>
        <w:rFonts w:ascii="Times New Roman" w:eastAsia="Calibri" w:hAnsi="Times New Roman" w:cs="Times New Roman"/>
        <w:sz w:val="20"/>
      </w:rPr>
      <w:t>Сормовская</w:t>
    </w:r>
    <w:proofErr w:type="spellEnd"/>
    <w:r w:rsidRPr="00D13DFC">
      <w:rPr>
        <w:rFonts w:ascii="Times New Roman" w:eastAsia="Calibri" w:hAnsi="Times New Roman" w:cs="Times New Roman"/>
        <w:sz w:val="20"/>
      </w:rPr>
      <w:t>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823" w:rsidRDefault="00185823">
      <w:pPr>
        <w:spacing w:after="0" w:line="240" w:lineRule="auto"/>
      </w:pPr>
      <w:r>
        <w:separator/>
      </w:r>
    </w:p>
  </w:footnote>
  <w:footnote w:type="continuationSeparator" w:id="0">
    <w:p w:rsidR="00185823" w:rsidRDefault="00185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1097"/>
    <w:multiLevelType w:val="multilevel"/>
    <w:tmpl w:val="2306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F60699"/>
    <w:multiLevelType w:val="multilevel"/>
    <w:tmpl w:val="7C16B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7127F6"/>
    <w:multiLevelType w:val="hybridMultilevel"/>
    <w:tmpl w:val="6B864B0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275"/>
    <w:rsid w:val="000A3BEE"/>
    <w:rsid w:val="000B3C35"/>
    <w:rsid w:val="000B5441"/>
    <w:rsid w:val="00105E04"/>
    <w:rsid w:val="00185823"/>
    <w:rsid w:val="0023144D"/>
    <w:rsid w:val="00296584"/>
    <w:rsid w:val="002A7703"/>
    <w:rsid w:val="002D3275"/>
    <w:rsid w:val="0037475B"/>
    <w:rsid w:val="0041190C"/>
    <w:rsid w:val="00444E74"/>
    <w:rsid w:val="00477694"/>
    <w:rsid w:val="004C01F8"/>
    <w:rsid w:val="00515CD5"/>
    <w:rsid w:val="0058459D"/>
    <w:rsid w:val="00584D0E"/>
    <w:rsid w:val="005B1726"/>
    <w:rsid w:val="005E110E"/>
    <w:rsid w:val="006744D8"/>
    <w:rsid w:val="00743E3C"/>
    <w:rsid w:val="0077466C"/>
    <w:rsid w:val="007A2A78"/>
    <w:rsid w:val="00800763"/>
    <w:rsid w:val="008421FF"/>
    <w:rsid w:val="00890A71"/>
    <w:rsid w:val="008D7164"/>
    <w:rsid w:val="008D7A24"/>
    <w:rsid w:val="009C53B6"/>
    <w:rsid w:val="009E1D67"/>
    <w:rsid w:val="009F512A"/>
    <w:rsid w:val="00A32927"/>
    <w:rsid w:val="00A564AD"/>
    <w:rsid w:val="00A64E18"/>
    <w:rsid w:val="00AB6803"/>
    <w:rsid w:val="00B17273"/>
    <w:rsid w:val="00BA0773"/>
    <w:rsid w:val="00BB51B9"/>
    <w:rsid w:val="00CF6E08"/>
    <w:rsid w:val="00D75255"/>
    <w:rsid w:val="00DA227D"/>
    <w:rsid w:val="00DC2396"/>
    <w:rsid w:val="00E00A4E"/>
    <w:rsid w:val="00EA5909"/>
    <w:rsid w:val="00EF13F5"/>
    <w:rsid w:val="00F11092"/>
    <w:rsid w:val="00FB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EE9C4"/>
  <w15:chartTrackingRefBased/>
  <w15:docId w15:val="{F1AFF008-4727-430E-88DC-A75D67F2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0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564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osreestr.gov.ru/activity/normativno-pravovoe-regulirovanie-v-sfere-nedvizhimosti/pozitsii-po-voprosam-pravoprimeneniya/o-realizatsii-polozheniy-federalnogo-zakona-ot-05-04-2021-79-fz-o-vnesenii-izmeneniy-v-otdelnye-zako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osreestr.gov.ru/upload/Doc/press/%D0%93%D0%B0%D1%80%D0%B0%D0%B6%D0%BD%D0%B0%D1%8F_%D0%B0%D0%BC%D0%BD%D0%B8%D1%81%D1%82%D0%B8%D1%8F_%D0%BC%D0%B5%D1%82%D0%BE%D0%B4%D0%B8%D1%87%D0%BA%D0%B0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3764/c9e8670f8359ea8230fcfedde7de2c68424e4b2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ess23@23.kadastr.ru" TargetMode="External"/><Relationship Id="rId10" Type="http://schemas.openxmlformats.org/officeDocument/2006/relationships/hyperlink" Target="http://www.consultant.ru/document/cons_doc_LAW_33773/a76b90b907f943dafd16eaf8780dc4297859938c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8601/6770478fdc2be6c79053e0a39a2b4e368caa84c3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56900-5834-48A5-B11C-59FAA6F95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1104</Words>
  <Characters>6296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Назаренко Варвара Сергеевна</cp:lastModifiedBy>
  <cp:revision>37</cp:revision>
  <dcterms:created xsi:type="dcterms:W3CDTF">2022-06-09T12:18:00Z</dcterms:created>
  <dcterms:modified xsi:type="dcterms:W3CDTF">2022-11-22T13:40:00Z</dcterms:modified>
</cp:coreProperties>
</file>